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color w:val="00a8d6"/>
          <w:sz w:val="40"/>
          <w:szCs w:val="40"/>
        </w:rPr>
        <mc:AlternateContent>
          <mc:Choice Requires="wpg">
            <w:drawing>
              <wp:anchor allowOverlap="1" behindDoc="0" distB="0" distT="0" distL="114300" distR="114300" hidden="0" layoutInCell="1" locked="0" relativeHeight="0" simplePos="0">
                <wp:simplePos x="0" y="0"/>
                <wp:positionH relativeFrom="page">
                  <wp:posOffset>968693</wp:posOffset>
                </wp:positionH>
                <wp:positionV relativeFrom="page">
                  <wp:posOffset>646748</wp:posOffset>
                </wp:positionV>
                <wp:extent cx="3286125" cy="1053465"/>
                <wp:effectExtent b="0" l="0" r="0" t="0"/>
                <wp:wrapNone/>
                <wp:docPr id="97" name=""/>
                <a:graphic>
                  <a:graphicData uri="http://schemas.microsoft.com/office/word/2010/wordprocessingShape">
                    <wps:wsp>
                      <wps:cNvSpPr/>
                      <wps:cNvPr id="3" name="Shape 3"/>
                      <wps:spPr>
                        <a:xfrm>
                          <a:off x="3707700" y="3288499"/>
                          <a:ext cx="3276600" cy="1075200"/>
                        </a:xfrm>
                        <a:prstGeom prst="rect">
                          <a:avLst/>
                        </a:prstGeom>
                        <a:noFill/>
                        <a:ln>
                          <a:noFill/>
                        </a:ln>
                      </wps:spPr>
                      <wps:txbx>
                        <w:txbxContent>
                          <w:p w:rsidR="00000000" w:rsidDel="00000000" w:rsidP="00000000" w:rsidRDefault="00000000" w:rsidRPr="00000000">
                            <w:pPr>
                              <w:spacing w:after="0" w:before="0" w:line="259.2000102996826"/>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Lisieux </w:t>
                            </w:r>
                            <w:r w:rsidDel="00000000" w:rsidR="00000000" w:rsidRPr="00000000">
                              <w:rPr>
                                <w:rFonts w:ascii="Calibri" w:cs="Calibri" w:eastAsia="Calibri" w:hAnsi="Calibri"/>
                                <w:b w:val="0"/>
                                <w:i w:val="0"/>
                                <w:smallCaps w:val="0"/>
                                <w:strike w:val="0"/>
                                <w:color w:val="ffffff"/>
                                <w:sz w:val="30"/>
                                <w:vertAlign w:val="baseline"/>
                              </w:rPr>
                              <w:t xml:space="preserve">Catholic Primary School</w:t>
                            </w:r>
                          </w:p>
                          <w:p w:rsidR="00000000" w:rsidDel="00000000" w:rsidP="00000000" w:rsidRDefault="00000000" w:rsidRPr="00000000">
                            <w:pPr>
                              <w:spacing w:after="0" w:before="0" w:line="259.2000102996826"/>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Assessment and Reporting Policy</w:t>
                            </w:r>
                          </w:p>
                          <w:p w:rsidR="00000000" w:rsidDel="00000000" w:rsidP="00000000" w:rsidRDefault="00000000" w:rsidRPr="00000000">
                            <w:pPr>
                              <w:spacing w:after="0" w:before="0" w:line="259.2000102996826"/>
                              <w:ind w:left="0" w:right="0" w:firstLine="0"/>
                              <w:jc w:val="left"/>
                              <w:textDirection w:val="btLr"/>
                            </w:pPr>
                            <w:r w:rsidDel="00000000" w:rsidR="00000000" w:rsidRPr="00000000">
                              <w:rPr>
                                <w:rFonts w:ascii="Calibri" w:cs="Calibri" w:eastAsia="Calibri" w:hAnsi="Calibri"/>
                                <w:b w:val="0"/>
                                <w:i w:val="0"/>
                                <w:smallCaps w:val="0"/>
                                <w:strike w:val="0"/>
                                <w:color w:val="ffffff"/>
                                <w:sz w:val="40"/>
                                <w:vertAlign w:val="baseline"/>
                              </w:rPr>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968693</wp:posOffset>
                </wp:positionH>
                <wp:positionV relativeFrom="page">
                  <wp:posOffset>646748</wp:posOffset>
                </wp:positionV>
                <wp:extent cx="3286125" cy="1053465"/>
                <wp:effectExtent b="0" l="0" r="0" t="0"/>
                <wp:wrapNone/>
                <wp:docPr id="9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86125" cy="10534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284201"/>
                <wp:effectExtent b="0" l="0" r="0" t="0"/>
                <wp:wrapNone/>
                <wp:docPr id="96"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2" name="Shape 2"/>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284201"/>
                <wp:effectExtent b="0" l="0" r="0" t="0"/>
                <wp:wrapNone/>
                <wp:docPr id="9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spacing w:after="161" w:line="239" w:lineRule="auto"/>
        <w:ind w:right="256" w:hanging="10"/>
        <w:rPr>
          <w:rFonts w:ascii="Calibri" w:cs="Calibri" w:eastAsia="Calibri" w:hAnsi="Calibri"/>
          <w:color w:val="585858"/>
          <w:sz w:val="21"/>
          <w:szCs w:val="21"/>
        </w:rPr>
      </w:pPr>
      <w:r w:rsidDel="00000000" w:rsidR="00000000" w:rsidRPr="00000000">
        <w:rPr>
          <w:rFonts w:ascii="Calibri" w:cs="Calibri" w:eastAsia="Calibri" w:hAnsi="Calibri"/>
          <w:color w:val="585858"/>
          <w:sz w:val="21"/>
          <w:szCs w:val="21"/>
          <w:rtl w:val="0"/>
        </w:rPr>
        <w:t xml:space="preserve">Lisieux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1"/>
        <w:rPr>
          <w:sz w:val="32"/>
          <w:szCs w:val="32"/>
        </w:rPr>
      </w:pPr>
      <w:r w:rsidDel="00000000" w:rsidR="00000000" w:rsidRPr="00000000">
        <w:rPr>
          <w:sz w:val="32"/>
          <w:szCs w:val="32"/>
          <w:rtl w:val="0"/>
        </w:rPr>
        <w:t xml:space="preserve">Principles underpinning our assessment and reporting</w:t>
      </w:r>
    </w:p>
    <w:p w:rsidR="00000000" w:rsidDel="00000000" w:rsidP="00000000" w:rsidRDefault="00000000" w:rsidRPr="00000000" w14:paraId="00000004">
      <w:pPr>
        <w:spacing w:after="5" w:line="269" w:lineRule="auto"/>
        <w:ind w:right="114"/>
        <w:rPr>
          <w:rFonts w:ascii="Calibri" w:cs="Calibri" w:eastAsia="Calibri" w:hAnsi="Calibri"/>
          <w:color w:val="585858"/>
          <w:sz w:val="21"/>
          <w:szCs w:val="21"/>
        </w:rPr>
      </w:pPr>
      <w:r w:rsidDel="00000000" w:rsidR="00000000" w:rsidRPr="00000000">
        <w:rPr>
          <w:rFonts w:ascii="Calibri" w:cs="Calibri" w:eastAsia="Calibri" w:hAnsi="Calibri"/>
          <w:i w:val="1"/>
          <w:color w:val="585858"/>
          <w:sz w:val="21"/>
          <w:szCs w:val="21"/>
          <w:rtl w:val="0"/>
        </w:rPr>
        <w:t xml:space="preserve">Horizons of Hope</w:t>
      </w:r>
      <w:r w:rsidDel="00000000" w:rsidR="00000000" w:rsidRPr="00000000">
        <w:rPr>
          <w:rFonts w:ascii="Calibri" w:cs="Calibri" w:eastAsia="Calibri" w:hAnsi="Calibri"/>
          <w:color w:val="585858"/>
          <w:sz w:val="21"/>
          <w:szCs w:val="21"/>
          <w:rtl w:val="0"/>
        </w:rPr>
        <w:t xml:space="preserve"> identifies the following principles of assessment for MACS schools:</w:t>
      </w:r>
    </w:p>
    <w:p w:rsidR="00000000" w:rsidDel="00000000" w:rsidP="00000000" w:rsidRDefault="00000000" w:rsidRPr="00000000" w14:paraId="00000005">
      <w:pPr>
        <w:pStyle w:val="Heading2"/>
        <w:rPr/>
      </w:pPr>
      <w:r w:rsidDel="00000000" w:rsidR="00000000" w:rsidRPr="00000000">
        <w:rPr>
          <w:rtl w:val="0"/>
        </w:rPr>
        <w:t xml:space="preserve">Focused on growth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be relevant and timely to each learner.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understand their learning progress.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receive feedback about their challenges while forming and valuing positive attitudes towards learning.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Educators critically question the impact of their decisions on student learning.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integral to the learning process, enabling students to self-regulate, self-assess and reflect on their own learning.</w:t>
      </w:r>
    </w:p>
    <w:p w:rsidR="00000000" w:rsidDel="00000000" w:rsidP="00000000" w:rsidRDefault="00000000" w:rsidRPr="00000000" w14:paraId="0000000B">
      <w:pPr>
        <w:pStyle w:val="Heading2"/>
        <w:rPr/>
      </w:pPr>
      <w:r w:rsidDel="00000000" w:rsidR="00000000" w:rsidRPr="00000000">
        <w:rPr>
          <w:rtl w:val="0"/>
        </w:rPr>
        <w:t xml:space="preserve">Relational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provide a strong foundation for authentic dialogue about learning progress between teachers, students and families.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teachers are both partners in the learning as the teacher constantly shapes and evolves their practice and pedagogy, while the student perseveres and progresses in response to evidence uncovered and timely feedback.</w:t>
      </w:r>
    </w:p>
    <w:p w:rsidR="00000000" w:rsidDel="00000000" w:rsidP="00000000" w:rsidRDefault="00000000" w:rsidRPr="00000000" w14:paraId="0000000E">
      <w:pPr>
        <w:pStyle w:val="Heading2"/>
        <w:rPr/>
      </w:pPr>
      <w:r w:rsidDel="00000000" w:rsidR="00000000" w:rsidRPr="00000000">
        <w:rPr>
          <w:rtl w:val="0"/>
        </w:rPr>
        <w:t xml:space="preserve">Ongoing and continuous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alert to the needs of students, founded on their knowledge of each student’s narrative.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feedback and data-gathering techniques are authentic, varied and diverse.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of learning is continuous, allowing students to demonstrate their progress and flourish.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continuous, accurate and forward-focused.</w:t>
      </w:r>
    </w:p>
    <w:p w:rsidR="00000000" w:rsidDel="00000000" w:rsidP="00000000" w:rsidRDefault="00000000" w:rsidRPr="00000000" w14:paraId="00000013">
      <w:pPr>
        <w:pStyle w:val="Heading1"/>
        <w:rPr>
          <w:sz w:val="32"/>
          <w:szCs w:val="32"/>
        </w:rPr>
      </w:pPr>
      <w:r w:rsidDel="00000000" w:rsidR="00000000" w:rsidRPr="00000000">
        <w:rPr>
          <w:sz w:val="32"/>
          <w:szCs w:val="32"/>
          <w:rtl w:val="0"/>
        </w:rPr>
        <w:t xml:space="preserve">Definitions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Alternative framework</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any recognised alternative curriculum framework, such as the International Baccalaureate program, available to Victorian Catholic schools if approval is granted and authorisation gained to deliver the program.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Assessment</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ongoing process of gathering, analysing and interpreting data about learners’ progress and achievement to improve learning and teaching.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Curriculum area</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refers to distinct bodies of knowledge, skills and behaviours within a curriculum framework. In the Victorian Curriculum, these are known as Learning Areas and Capabilities.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Growth</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focuses on the full flourishing of the human person across multi-dimensional domains to achieve deep learning.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Progress</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observable and measurable change in student learning based on evidence and multiple data sources that indicates development along a continuum of learning, and supports learners to see themselves as successful.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Reporting</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process used to communicate knowledge gained from assessing student learning. The purpose of reporting is to provide relevant information about a student’s progress to students, parents, support staff and other teachers.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Standards</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describe the quality of learning (extent of knowledge, depth of understanding and sophistication of skills) that would indicate the student is well-placed to commence the learning required at the next level of achievement within the Victorian Curriculum F–10 and/or Victorian Certificate of Education (VCE), Victorian Certificate of Applied Learning (VCAL) study designs or units of competency within a Vocational Education and Training (VET) program.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Standard framework</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refers to the Victorian Curriculum F–10.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Victorian Curriculum and Assessment Authority (VCAA)</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statutory authority primarily accountable to the Minister of Education, for the provision of curricula and assessment and reporting in Victorian schools.</w:t>
      </w:r>
    </w:p>
    <w:p w:rsidR="00000000" w:rsidDel="00000000" w:rsidP="00000000" w:rsidRDefault="00000000" w:rsidRPr="00000000" w14:paraId="0000001D">
      <w:pPr>
        <w:pStyle w:val="Heading1"/>
        <w:rPr>
          <w:sz w:val="32"/>
          <w:szCs w:val="32"/>
        </w:rPr>
      </w:pPr>
      <w:r w:rsidDel="00000000" w:rsidR="00000000" w:rsidRPr="00000000">
        <w:rPr>
          <w:sz w:val="32"/>
          <w:szCs w:val="32"/>
          <w:rtl w:val="0"/>
        </w:rPr>
        <w:t xml:space="preserve">Assessment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At Lisieux, teachers assess and monitor student growth, learning progress and achievement against the curriculum standards and within the learning and teaching program at Lisieux.</w:t>
      </w:r>
    </w:p>
    <w:p w:rsidR="00000000" w:rsidDel="00000000" w:rsidP="00000000" w:rsidRDefault="00000000" w:rsidRPr="00000000" w14:paraId="0000001F">
      <w:pPr>
        <w:pStyle w:val="Heading1"/>
        <w:rPr>
          <w:sz w:val="32"/>
          <w:szCs w:val="32"/>
        </w:rPr>
      </w:pPr>
      <w:r w:rsidDel="00000000" w:rsidR="00000000" w:rsidRPr="00000000">
        <w:rPr>
          <w:sz w:val="32"/>
          <w:szCs w:val="32"/>
          <w:rtl w:val="0"/>
        </w:rPr>
        <w:t xml:space="preserve">Reporting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At Lisieux,</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nature and frequency of feedback given to students and parents about individual assessment tasks are determined by teachers and leaders.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Lisieux complies with the Australian government reporting requirements. These requirements apply to the written reports on student learning and progress. Reports are provided twice annually for each student in each year they are enrolled at the school. More information about the specific requirements for reporting can be found in the Catholic Education Commission of Victoria Ltd (CECV) </w:t>
      </w:r>
      <w:hyperlink r:id="rId11">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Reporting Student Progress and Achievement: 2021 Revised Guidelines for Victorian Catholic Schools</w:t>
        </w:r>
      </w:hyperlink>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(the Guidelines).</w:t>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sz w:val="32"/>
          <w:szCs w:val="32"/>
        </w:rPr>
      </w:pPr>
      <w:r w:rsidDel="00000000" w:rsidR="00000000" w:rsidRPr="00000000">
        <w:rPr>
          <w:sz w:val="32"/>
          <w:szCs w:val="32"/>
          <w:rtl w:val="0"/>
        </w:rPr>
        <w:t xml:space="preserve">Review of assessment and reporting practices – Use of student learning data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Teachers at Lisieux document the processes they use to review practices for assessment and reporting. This information includes the ways in which data about student learning progress from a variety of sources is analysed to improve student growth and learning progress, and to guide learning and teaching programs.</w:t>
      </w:r>
    </w:p>
    <w:p w:rsidR="00000000" w:rsidDel="00000000" w:rsidP="00000000" w:rsidRDefault="00000000" w:rsidRPr="00000000" w14:paraId="00000025">
      <w:pPr>
        <w:pStyle w:val="Heading1"/>
        <w:rPr>
          <w:sz w:val="32"/>
          <w:szCs w:val="32"/>
        </w:rPr>
      </w:pPr>
      <w:r w:rsidDel="00000000" w:rsidR="00000000" w:rsidRPr="00000000">
        <w:rPr>
          <w:sz w:val="32"/>
          <w:szCs w:val="32"/>
          <w:rtl w:val="0"/>
        </w:rPr>
        <w:t xml:space="preserve">Related policies and documents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pPr>
      <w:r w:rsidDel="00000000" w:rsidR="00000000" w:rsidRPr="00000000">
        <w:rPr>
          <w:color w:val="595959"/>
          <w:sz w:val="21"/>
          <w:szCs w:val="21"/>
          <w:rtl w:val="0"/>
        </w:rPr>
        <w:t xml:space="preserve">Curriculum Plan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color w:val="595959"/>
          <w:sz w:val="21"/>
          <w:szCs w:val="21"/>
          <w:rtl w:val="0"/>
        </w:rPr>
        <w:t xml:space="preserve">Assessment and Reporting Procedures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Learning Diversity</w:t>
      </w:r>
      <w:r w:rsidDel="00000000" w:rsidR="00000000" w:rsidRPr="00000000">
        <w:rPr>
          <w:color w:val="585858"/>
          <w:sz w:val="21"/>
          <w:szCs w:val="21"/>
          <w:rtl w:val="0"/>
        </w:rPr>
        <w:t xml:space="preserve"> Resources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Professional Learning programs</w:t>
      </w:r>
      <w:r w:rsidDel="00000000" w:rsidR="00000000" w:rsidRPr="00000000">
        <w:rPr>
          <w:color w:val="585858"/>
          <w:sz w:val="21"/>
          <w:szCs w:val="21"/>
          <w:rtl w:val="0"/>
        </w:rPr>
        <w:t xml:space="preserve">, </w:t>
      </w: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handbooks, program guides</w:t>
      </w:r>
      <w:r w:rsidDel="00000000" w:rsidR="00000000" w:rsidRPr="00000000">
        <w:rPr>
          <w:rtl w:val="0"/>
        </w:rPr>
      </w:r>
    </w:p>
    <w:p w:rsidR="00000000" w:rsidDel="00000000" w:rsidP="00000000" w:rsidRDefault="00000000" w:rsidRPr="00000000" w14:paraId="0000002A">
      <w:pPr>
        <w:pStyle w:val="Heading1"/>
        <w:rPr>
          <w:sz w:val="32"/>
          <w:szCs w:val="32"/>
        </w:rPr>
      </w:pPr>
      <w:r w:rsidDel="00000000" w:rsidR="00000000" w:rsidRPr="00000000">
        <w:rPr>
          <w:sz w:val="32"/>
          <w:szCs w:val="32"/>
          <w:rtl w:val="0"/>
        </w:rPr>
        <w:t xml:space="preserve">References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CECV 2021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Reporting Student Progress and Achievement: 2021 Revised Guidelines for Victorian Catholic Schools</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120" w:line="259"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VCAA 2018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VCE VET Program Guide 2018</w:t>
        </w:r>
      </w:hyperlink>
      <w:r w:rsidDel="00000000" w:rsidR="00000000" w:rsidRPr="00000000">
        <w:rPr>
          <w:rtl w:val="0"/>
        </w:rPr>
      </w:r>
    </w:p>
    <w:sectPr>
      <w:footerReference r:id="rId14"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Curriculum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595959"/>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240" w:line="216" w:lineRule="auto"/>
      <w:ind w:left="0" w:right="0" w:firstLine="0"/>
      <w:jc w:val="left"/>
    </w:pPr>
    <w:rPr>
      <w:rFonts w:ascii="Calibri" w:cs="Calibri" w:eastAsia="Calibri" w:hAnsi="Calibri"/>
      <w:b w:val="0"/>
      <w:i w:val="0"/>
      <w:smallCaps w:val="0"/>
      <w:strike w:val="0"/>
      <w:color w:val="00a8d6"/>
      <w:sz w:val="40"/>
      <w:szCs w:val="40"/>
      <w:u w:val="none"/>
      <w:shd w:fill="auto" w:val="clear"/>
      <w:vertAlign w:val="baseline"/>
    </w:rPr>
  </w:style>
  <w:style w:type="paragraph" w:styleId="Heading2">
    <w:name w:val="heading 2"/>
    <w:basedOn w:val="Normal"/>
    <w:next w:val="Normal"/>
    <w:pPr>
      <w:spacing w:after="5" w:before="120" w:line="269" w:lineRule="auto"/>
      <w:ind w:right="113"/>
    </w:pPr>
    <w:rPr>
      <w:rFonts w:ascii="Calibri" w:cs="Calibri" w:eastAsia="Calibri" w:hAnsi="Calibri"/>
      <w:b w:val="1"/>
      <w:color w:val="00a8d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next w:val="Normal"/>
    <w:link w:val="Heading1Char"/>
    <w:uiPriority w:val="9"/>
    <w:qFormat w:val="1"/>
    <w:rsid w:val="00677362"/>
    <w:pPr>
      <w:keepNext w:val="1"/>
      <w:keepLines w:val="1"/>
      <w:spacing w:after="120" w:before="240" w:line="216" w:lineRule="auto"/>
      <w:outlineLvl w:val="0"/>
    </w:pPr>
    <w:rPr>
      <w:rFonts w:eastAsia="Calibri" w:cstheme="minorHAnsi"/>
      <w:color w:val="00a8d6"/>
      <w:sz w:val="40"/>
      <w:szCs w:val="32"/>
      <w:lang w:eastAsia="en-AU" w:val="en-US"/>
    </w:rPr>
  </w:style>
  <w:style w:type="paragraph" w:styleId="Heading2">
    <w:name w:val="heading 2"/>
    <w:basedOn w:val="Normal"/>
    <w:next w:val="Normal"/>
    <w:link w:val="Heading2Char"/>
    <w:uiPriority w:val="9"/>
    <w:unhideWhenUsed w:val="1"/>
    <w:qFormat w:val="1"/>
    <w:rsid w:val="0015033C"/>
    <w:pPr>
      <w:spacing w:after="5" w:before="120" w:line="269" w:lineRule="auto"/>
      <w:ind w:right="113"/>
      <w:outlineLvl w:val="1"/>
    </w:pPr>
    <w:rPr>
      <w:rFonts w:ascii="Calibri" w:cs="Calibri" w:eastAsia="Calibri" w:hAnsi="Calibri"/>
      <w:b w:val="1"/>
      <w:color w:val="00a8d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A3673A"/>
    <w:pPr>
      <w:spacing w:after="0" w:line="240" w:lineRule="auto"/>
    </w:pPr>
    <w:rPr>
      <w:rFonts w:eastAsiaTheme="minorEastAsia"/>
      <w:lang w:eastAsia="en-AU"/>
    </w:rPr>
    <w:tblPr>
      <w:tblCellMar>
        <w:top w:w="0.0" w:type="dxa"/>
        <w:left w:w="0.0" w:type="dxa"/>
        <w:bottom w:w="0.0" w:type="dxa"/>
        <w:right w:w="0.0" w:type="dxa"/>
      </w:tblCellMar>
    </w:tblPr>
  </w:style>
  <w:style w:type="paragraph" w:styleId="Header">
    <w:name w:val="header"/>
    <w:basedOn w:val="Normal"/>
    <w:link w:val="HeaderChar"/>
    <w:uiPriority w:val="99"/>
    <w:unhideWhenUsed w:val="1"/>
    <w:rsid w:val="00063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3AC1"/>
  </w:style>
  <w:style w:type="paragraph" w:styleId="Footer">
    <w:name w:val="footer"/>
    <w:basedOn w:val="Normal"/>
    <w:link w:val="FooterChar"/>
    <w:uiPriority w:val="99"/>
    <w:unhideWhenUsed w:val="1"/>
    <w:rsid w:val="00063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3AC1"/>
  </w:style>
  <w:style w:type="paragraph" w:styleId="ListParagraph">
    <w:name w:val="List Paragraph"/>
    <w:basedOn w:val="Normal"/>
    <w:uiPriority w:val="34"/>
    <w:qFormat w:val="1"/>
    <w:rsid w:val="00200769"/>
    <w:pPr>
      <w:ind w:left="720"/>
      <w:contextualSpacing w:val="1"/>
    </w:pPr>
  </w:style>
  <w:style w:type="character" w:styleId="Heading1Char" w:customStyle="1">
    <w:name w:val="Heading 1 Char"/>
    <w:basedOn w:val="DefaultParagraphFont"/>
    <w:link w:val="Heading1"/>
    <w:uiPriority w:val="9"/>
    <w:rsid w:val="00677362"/>
    <w:rPr>
      <w:rFonts w:eastAsia="Calibri" w:cstheme="minorHAnsi"/>
      <w:color w:val="00a8d6"/>
      <w:sz w:val="40"/>
      <w:szCs w:val="32"/>
      <w:lang w:eastAsia="en-AU" w:val="en-US"/>
    </w:rPr>
  </w:style>
  <w:style w:type="character" w:styleId="Heading2Char" w:customStyle="1">
    <w:name w:val="Heading 2 Char"/>
    <w:basedOn w:val="DefaultParagraphFont"/>
    <w:link w:val="Heading2"/>
    <w:uiPriority w:val="9"/>
    <w:rsid w:val="0015033C"/>
    <w:rPr>
      <w:rFonts w:ascii="Calibri" w:cs="Calibri" w:eastAsia="Calibri" w:hAnsi="Calibri"/>
      <w:b w:val="1"/>
      <w:color w:val="00a8d6"/>
      <w:sz w:val="26"/>
      <w:szCs w:val="26"/>
    </w:rPr>
  </w:style>
  <w:style w:type="paragraph" w:styleId="BodyText">
    <w:name w:val="Body Text"/>
    <w:basedOn w:val="Normal"/>
    <w:link w:val="BodyTextChar"/>
    <w:uiPriority w:val="99"/>
    <w:unhideWhenUsed w:val="1"/>
    <w:rsid w:val="0015033C"/>
    <w:pPr>
      <w:spacing w:after="240" w:before="120"/>
    </w:pPr>
    <w:rPr>
      <w:color w:val="585858"/>
      <w:sz w:val="21"/>
    </w:rPr>
  </w:style>
  <w:style w:type="character" w:styleId="BodyTextChar" w:customStyle="1">
    <w:name w:val="Body Text Char"/>
    <w:basedOn w:val="DefaultParagraphFont"/>
    <w:link w:val="BodyText"/>
    <w:uiPriority w:val="99"/>
    <w:rsid w:val="0015033C"/>
    <w:rPr>
      <w:color w:val="585858"/>
      <w:sz w:val="21"/>
    </w:rPr>
  </w:style>
  <w:style w:type="paragraph" w:styleId="FooterText" w:customStyle="1">
    <w:name w:val="Footer Text"/>
    <w:basedOn w:val="Normal"/>
    <w:qFormat w:val="1"/>
    <w:rsid w:val="0015033C"/>
    <w:pPr>
      <w:widowControl w:val="0"/>
      <w:tabs>
        <w:tab w:val="left" w:pos="142"/>
        <w:tab w:val="left" w:pos="227"/>
      </w:tabs>
      <w:autoSpaceDE w:val="0"/>
      <w:autoSpaceDN w:val="0"/>
      <w:adjustRightInd w:val="0"/>
      <w:spacing w:after="0" w:before="28" w:line="240" w:lineRule="auto"/>
      <w:textAlignment w:val="center"/>
    </w:pPr>
    <w:rPr>
      <w:rFonts w:ascii="Calibri" w:cs="DIN-Light" w:hAnsi="Calibri" w:eastAsiaTheme="minorEastAsia"/>
      <w:color w:val="404040" w:themeColor="text1" w:themeTint="0000BF"/>
      <w:spacing w:val="-2"/>
      <w:sz w:val="16"/>
      <w:szCs w:val="16"/>
      <w:lang w:val="en-GB"/>
    </w:rPr>
  </w:style>
  <w:style w:type="paragraph" w:styleId="List">
    <w:name w:val="List"/>
    <w:basedOn w:val="Normal"/>
    <w:uiPriority w:val="99"/>
    <w:unhideWhenUsed w:val="1"/>
    <w:rsid w:val="0015033C"/>
    <w:pPr>
      <w:numPr>
        <w:numId w:val="7"/>
      </w:numPr>
      <w:contextualSpacing w:val="1"/>
    </w:pPr>
    <w:rPr>
      <w:color w:val="595959"/>
      <w:sz w:val="21"/>
    </w:rPr>
  </w:style>
  <w:style w:type="character" w:styleId="PageNumber">
    <w:name w:val="page number"/>
    <w:basedOn w:val="DefaultParagraphFont"/>
    <w:uiPriority w:val="99"/>
    <w:semiHidden w:val="1"/>
    <w:unhideWhenUsed w:val="1"/>
    <w:rsid w:val="0015033C"/>
  </w:style>
  <w:style w:type="character" w:styleId="CommentReference">
    <w:name w:val="annotation reference"/>
    <w:basedOn w:val="DefaultParagraphFont"/>
    <w:uiPriority w:val="99"/>
    <w:semiHidden w:val="1"/>
    <w:unhideWhenUsed w:val="1"/>
    <w:rsid w:val="00FD3511"/>
    <w:rPr>
      <w:sz w:val="16"/>
      <w:szCs w:val="16"/>
    </w:rPr>
  </w:style>
  <w:style w:type="paragraph" w:styleId="CommentText">
    <w:name w:val="annotation text"/>
    <w:basedOn w:val="Normal"/>
    <w:link w:val="CommentTextChar"/>
    <w:uiPriority w:val="99"/>
    <w:semiHidden w:val="1"/>
    <w:unhideWhenUsed w:val="1"/>
    <w:rsid w:val="00FD3511"/>
    <w:pPr>
      <w:spacing w:line="240" w:lineRule="auto"/>
    </w:pPr>
    <w:rPr>
      <w:sz w:val="20"/>
      <w:szCs w:val="20"/>
    </w:rPr>
  </w:style>
  <w:style w:type="character" w:styleId="CommentTextChar" w:customStyle="1">
    <w:name w:val="Comment Text Char"/>
    <w:basedOn w:val="DefaultParagraphFont"/>
    <w:link w:val="CommentText"/>
    <w:uiPriority w:val="99"/>
    <w:semiHidden w:val="1"/>
    <w:rsid w:val="00FD3511"/>
    <w:rPr>
      <w:sz w:val="20"/>
      <w:szCs w:val="20"/>
    </w:rPr>
  </w:style>
  <w:style w:type="paragraph" w:styleId="CommentSubject">
    <w:name w:val="annotation subject"/>
    <w:basedOn w:val="CommentText"/>
    <w:next w:val="CommentText"/>
    <w:link w:val="CommentSubjectChar"/>
    <w:uiPriority w:val="99"/>
    <w:semiHidden w:val="1"/>
    <w:unhideWhenUsed w:val="1"/>
    <w:rsid w:val="00FD3511"/>
    <w:rPr>
      <w:b w:val="1"/>
      <w:bCs w:val="1"/>
    </w:rPr>
  </w:style>
  <w:style w:type="character" w:styleId="CommentSubjectChar" w:customStyle="1">
    <w:name w:val="Comment Subject Char"/>
    <w:basedOn w:val="CommentTextChar"/>
    <w:link w:val="CommentSubject"/>
    <w:uiPriority w:val="99"/>
    <w:semiHidden w:val="1"/>
    <w:rsid w:val="00FD3511"/>
    <w:rPr>
      <w:b w:val="1"/>
      <w:bCs w:val="1"/>
      <w:sz w:val="20"/>
      <w:szCs w:val="20"/>
    </w:rPr>
  </w:style>
  <w:style w:type="paragraph" w:styleId="BalloonText">
    <w:name w:val="Balloon Text"/>
    <w:basedOn w:val="Normal"/>
    <w:link w:val="BalloonTextChar"/>
    <w:uiPriority w:val="99"/>
    <w:semiHidden w:val="1"/>
    <w:unhideWhenUsed w:val="1"/>
    <w:rsid w:val="00FD35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3511"/>
    <w:rPr>
      <w:rFonts w:ascii="Segoe UI" w:cs="Segoe UI" w:hAnsi="Segoe UI"/>
      <w:sz w:val="18"/>
      <w:szCs w:val="18"/>
    </w:rPr>
  </w:style>
  <w:style w:type="character" w:styleId="Hyperlink">
    <w:name w:val="Hyperlink"/>
    <w:basedOn w:val="DefaultParagraphFont"/>
    <w:uiPriority w:val="99"/>
    <w:unhideWhenUsed w:val="1"/>
    <w:rsid w:val="00E0536A"/>
    <w:rPr>
      <w:color w:val="0563c1" w:themeColor="hyperlink"/>
      <w:u w:val="single"/>
    </w:rPr>
  </w:style>
  <w:style w:type="character" w:styleId="FollowedHyperlink">
    <w:name w:val="FollowedHyperlink"/>
    <w:basedOn w:val="DefaultParagraphFont"/>
    <w:uiPriority w:val="99"/>
    <w:semiHidden w:val="1"/>
    <w:unhideWhenUsed w:val="1"/>
    <w:rsid w:val="00E0536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evn.cecv.catholic.edu.au/MelbourneDiocese/Document-File/Curriculum/Reporting/CECV-2019-Revised-Student-Reporting-Guidelines.aspx" TargetMode="External"/><Relationship Id="rId10" Type="http://schemas.openxmlformats.org/officeDocument/2006/relationships/image" Target="media/image1.png"/><Relationship Id="rId13" Type="http://schemas.openxmlformats.org/officeDocument/2006/relationships/hyperlink" Target="https://www.vcaa.vic.edu.au/Documents/vet/publications/VCEVETProgramGuide2018.docx" TargetMode="External"/><Relationship Id="rId12" Type="http://schemas.openxmlformats.org/officeDocument/2006/relationships/hyperlink" Target="https://cevn.cecv.catholic.edu.au/MelbourneDiocese/Document-File/Curriculum/Reporting/CECV-2019-Revised-Student-Reporting-Guideline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XEZduBN6HhJSZWW55iyKZ3Cdg==">AMUW2mUbSOzfn21+XNehjS76VHK498fD37tXJ4556UG2hHyKQ1OTzOkIjvEGvuyamYDq4jv0SAbfi8a5QytqgTmJfNWxyu+DMlv41kb0OjU8F2JyOSAlEIymeTKcUSsVSjbdUkqjd0LS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2021-04-23T05:29:00Z</dcterms:created>
  <dc:creator>Quick, 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ies>
</file>