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1007157"/>
                <wp:effectExtent b="0" l="0" r="0" t="0"/>
                <wp:wrapNone/>
                <wp:docPr id="96" name=""/>
                <a:graphic>
                  <a:graphicData uri="http://schemas.microsoft.com/office/word/2010/wordprocessingShape">
                    <wps:wsp>
                      <wps:cNvSpPr/>
                      <wps:cNvPr id="2" name="Shape 2"/>
                      <wps:spPr>
                        <a:xfrm>
                          <a:off x="3811523" y="3285018"/>
                          <a:ext cx="3068955" cy="989965"/>
                        </a:xfrm>
                        <a:prstGeom prst="rect">
                          <a:avLst/>
                        </a:prstGeom>
                        <a:noFill/>
                        <a:ln>
                          <a:noFill/>
                        </a:ln>
                      </wps:spPr>
                      <wps:txbx>
                        <w:txbxContent>
                          <w:p w:rsidR="00000000" w:rsidDel="00000000" w:rsidP="00000000" w:rsidRDefault="00000000" w:rsidRPr="00000000">
                            <w:pPr>
                              <w:spacing w:after="20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4"/>
                                <w:vertAlign w:val="baseline"/>
                              </w:rPr>
                              <w:t xml:space="preserve">Lisieux Catholic Primary School</w:t>
                            </w:r>
                          </w:p>
                          <w:p w:rsidR="00000000" w:rsidDel="00000000" w:rsidP="00000000" w:rsidRDefault="00000000" w:rsidRPr="00000000">
                            <w:pPr>
                              <w:spacing w:after="20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4"/>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Standard Collection Notice</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1007157"/>
                <wp:effectExtent b="0" l="0" r="0" t="0"/>
                <wp:wrapNone/>
                <wp:docPr id="9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78480" cy="1007157"/>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4611600</wp:posOffset>
                </wp:positionH>
                <wp:positionV relativeFrom="paragraph">
                  <wp:posOffset>306000</wp:posOffset>
                </wp:positionV>
                <wp:extent cx="811459" cy="284201"/>
                <wp:effectExtent b="0" l="0" r="0" t="0"/>
                <wp:wrapNone/>
                <wp:docPr id="97" name=""/>
                <a:graphic>
                  <a:graphicData uri="http://schemas.microsoft.com/office/word/2010/wordprocessingGroup">
                    <wpg:wgp>
                      <wpg:cNvGrpSpPr/>
                      <wpg:grpSpPr>
                        <a:xfrm>
                          <a:off x="283063" y="2011013"/>
                          <a:ext cx="811459" cy="284201"/>
                          <a:chOff x="283063" y="2011013"/>
                          <a:chExt cx="10125875" cy="3537975"/>
                        </a:xfrm>
                      </wpg:grpSpPr>
                      <pic:pic>
                        <pic:nvPicPr>
                          <pic:cNvPr descr="Lisieux-horizontal-rgb.jpg" id="3" name="Shape 3"/>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4611600</wp:posOffset>
                </wp:positionH>
                <wp:positionV relativeFrom="paragraph">
                  <wp:posOffset>306000</wp:posOffset>
                </wp:positionV>
                <wp:extent cx="811459" cy="284201"/>
                <wp:effectExtent b="0" l="0" r="0" t="0"/>
                <wp:wrapNone/>
                <wp:docPr id="9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811459" cy="284201"/>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200" w:before="240" w:line="240" w:lineRule="auto"/>
        <w:ind w:left="425.1968503937008" w:right="0" w:hanging="425.1968503937008"/>
        <w:jc w:val="left"/>
        <w:rPr/>
      </w:pPr>
      <w:r w:rsidDel="00000000" w:rsidR="00000000" w:rsidRPr="00000000">
        <w:rPr>
          <w:color w:val="595959"/>
          <w:sz w:val="21"/>
          <w:szCs w:val="21"/>
          <w:rtl w:val="0"/>
        </w:rPr>
        <w:t xml:space="preserve">Lisieux Catholic Primary School</w:t>
      </w:r>
      <w:r w:rsidDel="00000000" w:rsidR="00000000" w:rsidRPr="00000000">
        <w:rPr>
          <w:color w:val="595959"/>
          <w:sz w:val="21"/>
          <w:szCs w:val="21"/>
          <w:rtl w:val="0"/>
        </w:rPr>
        <w:t xml:space="preserve"> collects personal information, including sensitive information about students and parents or guardians and family members before and during the course of a student's enrolment at Lisieux. This may be in writing, through technology systems or in the course of conversations and may be direct from the individual or from another source. The primary purpose of collecting this information is to enable Lisieux, Catholic Education Offices and the Catholic Education Commission of Victoria Ltd (CECV) to meet its educational, administrative and duty of care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responsibilities to the student to enable them to take part in all the activities of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2. </w:t>
        <w:tab/>
        <w:t xml:space="preserve">Some of the information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collects is to satisfy the </w:t>
      </w:r>
      <w:r w:rsidDel="00000000" w:rsidR="00000000" w:rsidRPr="00000000">
        <w:rPr>
          <w:color w:val="595959"/>
          <w:sz w:val="21"/>
          <w:szCs w:val="21"/>
          <w:rtl w:val="0"/>
        </w:rPr>
        <w:t xml:space="preserv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chool's legal obligations, particularly to enable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to discharge its duty of care.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3. </w:t>
        <w:tab/>
        <w:t xml:space="preserve">Laws governing or relating to the operation of a school require certain information to be collected and disclosed. These include relevant Education Acts and Public Health and Child Protection laws.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4. </w:t>
        <w:tab/>
        <w:t xml:space="preserve">Health information about students (which includes information about any disability as defined by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Disability Discrimination Act 1992</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sensitive information within the terms of the Australian Privacy Principles (APPs) under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Privacy Act 1988</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require medical reports about students from time to time and may otherwise collect sensitive information about students and their families.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5. </w:t>
        <w:tab/>
        <w:t xml:space="preserve">If any personal information requested by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not provided, this may affect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ability to enrol a student, respond to enquiries, provide the student with educational and support services or allow a person to visit the </w:t>
      </w:r>
      <w:r w:rsidDel="00000000" w:rsidR="00000000" w:rsidRPr="00000000">
        <w:rPr>
          <w:color w:val="595959"/>
          <w:sz w:val="21"/>
          <w:szCs w:val="21"/>
          <w:rtl w:val="0"/>
        </w:rPr>
        <w:t xml:space="preserv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chool.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6. </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disclose personal and sensitive information for administrative, educational and support purposes (or may permit the information to be directly collected by third parties). This may include to:</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service providers such as the CECV, Catholic Education Offices, school governing bodies and other dioceses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third party service providers that provide online educational and assessment support services, document and data management services, training and support services, hosting services, and software-as-a-services applications (such as the Integrated Catholic Online Network (ICON)</w:t>
      </w:r>
      <w:r w:rsidDel="00000000" w:rsidR="00000000" w:rsidRPr="00000000">
        <w:rPr>
          <w:color w:val="595959"/>
          <w:sz w:val="21"/>
          <w:szCs w:val="21"/>
          <w:rtl w:val="0"/>
        </w:rPr>
        <w:t xml:space="preserv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Google’s G Suite, Operoo and Seesaw)</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CECV and Catholic Education Offices to discharge its responsibilities under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Australian Education Regulation 2013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(Regulation) and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Australian Education Act 2013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(Cth) (AE Act) relating to students with a disability, including ongoing evaluation of funding adequacy for individual students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CECV to support the training of selected staff in the use of schools’ systems, such as ICON</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another school to facilitate the transfer of a student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Federal and State government departments and agencies acting on behalf of the government e.g. for audit purposes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health service providers, and people providing educational support and health services to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including specialist visiting teachers, sports coaches, volunteers, counsellors and providers of learning and assessment tools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educational authorities, including the Australian Curriculum, Assessment and Reporting Authority</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people providing administrative and financial services to </w:t>
      </w:r>
      <w:r w:rsidDel="00000000" w:rsidR="00000000" w:rsidRPr="00000000">
        <w:rPr>
          <w:color w:val="595959"/>
          <w:sz w:val="21"/>
          <w:szCs w:val="21"/>
          <w:rtl w:val="0"/>
        </w:rPr>
        <w:t xml:space="preserve">Lisieux</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anyone you authorise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to disclose information to; and</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82.3622047244095"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anyone to whom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required or authorised to disclose the information to by law, including under child protection laws.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7.</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required by the Federal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Australian Education Regulation (2013) and Australian Education Act 2013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(Cth) (AE Act) to collect and disclose certain information under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Nationally Consistent Collection of Data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(NCCD) on students with a disability.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8. </w:t>
        <w:tab/>
        <w:t xml:space="preserve">Personal information collected from students is regularly disclosed to their parents or guardians.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9. </w:t>
        <w:tab/>
        <w:t xml:space="preserve">If you make an enrolment application to another School, personal information including health information provided during the application stage may be collected from, or shared with, the other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10. </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use online or ‘cloud’ service providers to store personal information and to provide services to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cloud service provider’s servers which may be situated outside Australia. Further information about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use of an online or ‘cloud’ service providers is contained in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Privacy Policy.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11. </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Privacy Policy, accessible on the </w:t>
      </w:r>
      <w:r w:rsidDel="00000000" w:rsidR="00000000" w:rsidRPr="00000000">
        <w:rPr>
          <w:color w:val="595959"/>
          <w:sz w:val="21"/>
          <w:szCs w:val="21"/>
          <w:rtl w:val="0"/>
        </w:rPr>
        <w:t xml:space="preserv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chool’s website, sets out how parents or students may seek access to and correction of their personal information which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has collected and holds. However, access may be refused in certain circumstances such as where access would have an unreasonable impact on the privacy of others, where access may result in a breach of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duty of care to the student, where students have provided information in confidence or where the </w:t>
      </w:r>
      <w:r w:rsidDel="00000000" w:rsidR="00000000" w:rsidRPr="00000000">
        <w:rPr>
          <w:color w:val="595959"/>
          <w:sz w:val="21"/>
          <w:szCs w:val="21"/>
          <w:rtl w:val="0"/>
        </w:rPr>
        <w:t xml:space="preserv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chool is otherwise required or authorised by law to refuse access. Any refusal will be notified in writing with reasons (unless, given the grounds for refusal, it would be unreasonable to provide reasons).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12. </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makes reasonable efforts to be satisfied about the protection of any personal information that may be collected, processed and stored outside Australia in connection with any cloud and third party services and will endeavour to ensure it will be located in countries with substantially similar protections as the APPs.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13. </w:t>
        <w:tab/>
        <w:t xml:space="preserve">Where personal, including sensitive information is held by a cloud computing service provider on behalf of CECV for educational and administrative purposes, it may be stored on servers located within or outside Australia.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14. </w:t>
        <w:tab/>
        <w:t xml:space="preserve">School personnel and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service providers, and the CECV and its service providers, may have the ability to access, monitor, use or disclose emails, communications (e.g. instant messaging), documents and associated administrative data for the purposes of administering the ICON system and ensuring its proper use.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15. </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disclose limited personal information to the school parish to facilitate religious and sacramental programs, and other activities such as fundraising.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16. </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Privacy Policy is accessible via the school website, newsletter, handbook, or from the </w:t>
      </w:r>
      <w:r w:rsidDel="00000000" w:rsidR="00000000" w:rsidRPr="00000000">
        <w:rPr>
          <w:color w:val="595959"/>
          <w:sz w:val="21"/>
          <w:szCs w:val="21"/>
          <w:rtl w:val="0"/>
        </w:rPr>
        <w:t xml:space="preserv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chool</w:t>
      </w:r>
      <w:r w:rsidDel="00000000" w:rsidR="00000000" w:rsidRPr="00000000">
        <w:rPr>
          <w:color w:val="595959"/>
          <w:sz w:val="21"/>
          <w:szCs w:val="21"/>
          <w:rtl w:val="0"/>
        </w:rPr>
        <w:t xml:space="preserv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office. The policy sets out how parents, guardians or students may seek access to, and correction of their personal information which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has collected and holds. However, access may be refused in certain circumstances such as where access would have an unreasonable impact on the privacy of others, or may result in a breach of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duty of care to the student, or where students have provided information in confidence. Any refusal will be notified in writing with reasons if appropriate.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17. </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Privacy Policy also sets out how parents and students can make a complaint if they believe there has been a breach of the APPs and how the complaint will be handled.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18. </w:t>
        <w:tab/>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 consent.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19. </w:t>
        <w:tab/>
        <w:t xml:space="preserve">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obtain permissions from the student’s parent or guardian (and from the student if appropriate) prior to publication to enable the school to include such photographs or videos [or other identifying material] in our promotional material or otherwise make this material available to the public such as on the internet.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obtain permissions annually, or as part of the enrolment process. Permissions obtained at enrolment may apply for the duration of the student’s enrolment 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unless</w:t>
      </w:r>
      <w:r w:rsidDel="00000000" w:rsidR="00000000" w:rsidRPr="00000000">
        <w:rPr>
          <w:color w:val="595959"/>
          <w:sz w:val="21"/>
          <w:szCs w:val="21"/>
          <w:rtl w:val="0"/>
        </w:rPr>
        <w:t xml:space="preserve"> the school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notified otherwise. Annually,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remind parents and guardians to notify the school if they wish to vary the permissions previously provided.[We may include student’s and parents' or guardians' contact details in a class list and School directory.]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426"/>
        <w:jc w:val="left"/>
        <w:rPr>
          <w:rFonts w:ascii="Calibri" w:cs="Calibri" w:eastAsia="Calibri" w:hAnsi="Calibri"/>
          <w:b w:val="0"/>
          <w:i w:val="0"/>
          <w:smallCaps w:val="0"/>
          <w:strike w:val="0"/>
          <w:color w:val="595959"/>
          <w:sz w:val="21"/>
          <w:szCs w:val="21"/>
          <w:highlight w:val="yellow"/>
          <w:u w:val="none"/>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20. </w:t>
        <w:tab/>
        <w:t xml:space="preserve">If you provide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with the personal information of others, such as other family members, doctors or emergency contacts, we encourage you to inform them you are disclosing that information to the </w:t>
      </w:r>
      <w:r w:rsidDel="00000000" w:rsidR="00000000" w:rsidRPr="00000000">
        <w:rPr>
          <w:color w:val="595959"/>
          <w:sz w:val="21"/>
          <w:szCs w:val="21"/>
          <w:rtl w:val="0"/>
        </w:rPr>
        <w:t xml:space="preserv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chool and why.</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sectPr>
      <w:footerReference r:id="rId11" w:type="default"/>
      <w:footerReference r:id="rId12"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 Enrolment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w:t>
    </w:r>
    <w:r w:rsidDel="00000000" w:rsidR="00000000" w:rsidRPr="00000000">
      <w:rPr>
        <w:color w:val="595959"/>
        <w:sz w:val="16"/>
        <w:szCs w:val="16"/>
        <w:rtl w:val="0"/>
      </w:rPr>
      <w:t xml:space="preserve">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666666"/>
        <w:sz w:val="21"/>
        <w:szCs w:val="2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653" w:hanging="227.00000000000006"/>
      </w:pPr>
      <w:rPr>
        <w:rFonts w:ascii="Calibri" w:cs="Calibri" w:eastAsia="Calibri" w:hAnsi="Calibri"/>
        <w:b w:val="0"/>
        <w:color w:val="666666"/>
        <w:sz w:val="21"/>
        <w:szCs w:val="21"/>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after="0"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924EB4"/>
    <w:pPr>
      <w:keepNext w:val="1"/>
      <w:keepLines w:val="1"/>
      <w:spacing w:after="0" w:before="200"/>
      <w:outlineLvl w:val="3"/>
    </w:pPr>
    <w:rPr>
      <w:rFonts w:cstheme="majorBidi" w:eastAsiaTheme="majorEastAsia"/>
      <w:bCs w:val="1"/>
      <w:iCs w:val="1"/>
      <w:color w:val="1c92c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link w:val="BodyCopyChar"/>
    <w:qFormat w:val="1"/>
    <w:rsid w:val="004B3FF0"/>
    <w:pPr>
      <w:tabs>
        <w:tab w:val="left" w:pos="3000"/>
      </w:tabs>
      <w:spacing w:after="20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link w:val="ListParagraphChar"/>
    <w:uiPriority w:val="1"/>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924EB4"/>
    <w:rPr>
      <w:rFonts w:asciiTheme="majorHAnsi" w:cstheme="majorBidi" w:eastAsiaTheme="majorEastAsia" w:hAnsiTheme="majorHAnsi"/>
      <w:bCs w:val="1"/>
      <w:iCs w:val="1"/>
      <w:color w:val="1c92cd"/>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paragraph" w:styleId="POLICYTitle" w:customStyle="1">
    <w:name w:val="POLICY Title"/>
    <w:basedOn w:val="Heading1"/>
    <w:link w:val="POLICYTitleChar"/>
    <w:qFormat w:val="1"/>
    <w:rsid w:val="0075546F"/>
  </w:style>
  <w:style w:type="paragraph" w:styleId="POLICYHeading2" w:customStyle="1">
    <w:name w:val="POLICY Heading 2"/>
    <w:basedOn w:val="Heading2"/>
    <w:link w:val="POLICYHeading2Char"/>
    <w:qFormat w:val="1"/>
    <w:rsid w:val="0075546F"/>
  </w:style>
  <w:style w:type="character" w:styleId="POLICYTitleChar" w:customStyle="1">
    <w:name w:val="POLICY Title Char"/>
    <w:basedOn w:val="Heading1Char"/>
    <w:link w:val="POLICYTitle"/>
    <w:rsid w:val="0075546F"/>
    <w:rPr>
      <w:rFonts w:cs="Times New Roman (Headings CS)" w:asciiTheme="majorHAnsi" w:eastAsiaTheme="majorEastAsia" w:hAnsiTheme="majorHAnsi"/>
      <w:b w:val="1"/>
      <w:color w:val="ffffff" w:themeColor="background1"/>
      <w:sz w:val="40"/>
      <w:szCs w:val="32"/>
      <w:lang w:val="en-US"/>
    </w:rPr>
  </w:style>
  <w:style w:type="paragraph" w:styleId="POLICYbody" w:customStyle="1">
    <w:name w:val="POLICY body"/>
    <w:basedOn w:val="BodyCopy"/>
    <w:link w:val="POLICYbodyChar"/>
    <w:qFormat w:val="1"/>
    <w:rsid w:val="0075546F"/>
  </w:style>
  <w:style w:type="character" w:styleId="POLICYHeading2Char" w:customStyle="1">
    <w:name w:val="POLICY Heading 2 Char"/>
    <w:basedOn w:val="Heading2Char"/>
    <w:link w:val="POLICYHeading2"/>
    <w:rsid w:val="0075546F"/>
    <w:rPr>
      <w:rFonts w:asciiTheme="majorHAnsi" w:cstheme="majorBidi" w:eastAsiaTheme="majorEastAsia" w:hAnsiTheme="majorHAnsi"/>
      <w:color w:val="00a8d6"/>
      <w:kern w:val="2"/>
      <w:sz w:val="32"/>
      <w:szCs w:val="32"/>
    </w:rPr>
  </w:style>
  <w:style w:type="paragraph" w:styleId="POLICYTable" w:customStyle="1">
    <w:name w:val="POLICY Table"/>
    <w:basedOn w:val="Tableheaderwhite"/>
    <w:link w:val="POLICYTableChar"/>
    <w:qFormat w:val="1"/>
    <w:rsid w:val="0075546F"/>
    <w:rPr>
      <w:b w:val="0"/>
      <w:kern w:val="2"/>
    </w:rPr>
  </w:style>
  <w:style w:type="character" w:styleId="BodyCopyChar" w:customStyle="1">
    <w:name w:val="Body Copy Char"/>
    <w:basedOn w:val="DefaultParagraphFont"/>
    <w:link w:val="BodyCopy"/>
    <w:rsid w:val="004B3FF0"/>
    <w:rPr>
      <w:rFonts w:asciiTheme="majorHAnsi" w:hAnsiTheme="majorHAnsi"/>
      <w:color w:val="595959" w:themeColor="text1" w:themeTint="0000A6"/>
      <w:sz w:val="21"/>
      <w:szCs w:val="22"/>
      <w:lang w:val="en-US"/>
    </w:rPr>
  </w:style>
  <w:style w:type="character" w:styleId="POLICYbodyChar" w:customStyle="1">
    <w:name w:val="POLICY body Char"/>
    <w:basedOn w:val="BodyCopyChar"/>
    <w:link w:val="POLICYbody"/>
    <w:rsid w:val="0075546F"/>
    <w:rPr>
      <w:rFonts w:asciiTheme="majorHAnsi" w:hAnsiTheme="majorHAnsi"/>
      <w:color w:val="595959" w:themeColor="text1" w:themeTint="0000A6"/>
      <w:sz w:val="21"/>
      <w:szCs w:val="22"/>
      <w:lang w:val="en-US"/>
    </w:rPr>
  </w:style>
  <w:style w:type="paragraph" w:styleId="POLICYHeading3" w:customStyle="1">
    <w:name w:val="POLICY Heading 3"/>
    <w:basedOn w:val="Heading3"/>
    <w:link w:val="POLICYHeading3Char"/>
    <w:qFormat w:val="1"/>
    <w:rsid w:val="0075546F"/>
    <w:rPr>
      <w:kern w:val="2"/>
    </w:rPr>
  </w:style>
  <w:style w:type="character" w:styleId="POLICYTableChar" w:customStyle="1">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styleId="POLICYListstyle" w:customStyle="1">
    <w:name w:val="POLICY List style"/>
    <w:basedOn w:val="ListParagraph"/>
    <w:link w:val="POLICYListstyleChar"/>
    <w:qFormat w:val="1"/>
    <w:rsid w:val="0075546F"/>
  </w:style>
  <w:style w:type="character" w:styleId="POLICYHeading3Char" w:customStyle="1">
    <w:name w:val="POLICY Heading 3 Char"/>
    <w:basedOn w:val="Heading3Char"/>
    <w:link w:val="POLICYHeading3"/>
    <w:rsid w:val="0075546F"/>
    <w:rPr>
      <w:rFonts w:asciiTheme="majorHAnsi" w:cstheme="majorBidi" w:eastAsiaTheme="majorEastAsia" w:hAnsiTheme="majorHAnsi"/>
      <w:b w:val="1"/>
      <w:bCs w:val="1"/>
      <w:color w:val="00a8d6"/>
      <w:kern w:val="2"/>
      <w:sz w:val="26"/>
      <w:szCs w:val="22"/>
      <w:lang w:val="en-US"/>
    </w:rPr>
  </w:style>
  <w:style w:type="paragraph" w:styleId="POLICYsubliststyle" w:customStyle="1">
    <w:name w:val="POLICY sub list style"/>
    <w:basedOn w:val="ListParagraph"/>
    <w:link w:val="POLICYsubliststyleChar"/>
    <w:qFormat w:val="1"/>
    <w:rsid w:val="0075546F"/>
    <w:pPr>
      <w:numPr>
        <w:ilvl w:val="1"/>
        <w:numId w:val="2"/>
      </w:numPr>
    </w:pPr>
  </w:style>
  <w:style w:type="character" w:styleId="ListParagraphChar" w:customStyle="1">
    <w:name w:val="List Paragraph Char"/>
    <w:aliases w:val="Bullet list Char"/>
    <w:basedOn w:val="DefaultParagraphFont"/>
    <w:link w:val="ListParagraph"/>
    <w:uiPriority w:val="34"/>
    <w:rsid w:val="0075546F"/>
    <w:rPr>
      <w:rFonts w:asciiTheme="majorHAnsi" w:hAnsiTheme="majorHAnsi"/>
      <w:color w:val="595959" w:themeColor="text1" w:themeTint="0000A6"/>
      <w:sz w:val="21"/>
      <w:szCs w:val="21"/>
      <w:lang w:val="en-US"/>
    </w:rPr>
  </w:style>
  <w:style w:type="character" w:styleId="POLICYListstyleChar" w:customStyle="1">
    <w:name w:val="POLICY List style Char"/>
    <w:basedOn w:val="ListParagraphChar"/>
    <w:link w:val="POLICYListstyle"/>
    <w:rsid w:val="0075546F"/>
    <w:rPr>
      <w:rFonts w:asciiTheme="majorHAnsi" w:hAnsiTheme="majorHAnsi"/>
      <w:color w:val="595959" w:themeColor="text1" w:themeTint="0000A6"/>
      <w:sz w:val="21"/>
      <w:szCs w:val="21"/>
      <w:lang w:val="en-US"/>
    </w:rPr>
  </w:style>
  <w:style w:type="character" w:styleId="POLICYsubliststyleChar" w:customStyle="1">
    <w:name w:val="POLICY sub list style Char"/>
    <w:basedOn w:val="ListParagraphChar"/>
    <w:link w:val="POLICYsubliststyle"/>
    <w:rsid w:val="0075546F"/>
    <w:rPr>
      <w:rFonts w:asciiTheme="majorHAnsi" w:hAnsiTheme="majorHAnsi"/>
      <w:color w:val="595959" w:themeColor="text1" w:themeTint="0000A6"/>
      <w:sz w:val="21"/>
      <w:szCs w:val="21"/>
      <w:lang w:val="en-US"/>
    </w:rPr>
  </w:style>
  <w:style w:type="paragraph" w:styleId="BodyText">
    <w:name w:val="Body Text"/>
    <w:basedOn w:val="Normal"/>
    <w:link w:val="BodyTextChar"/>
    <w:uiPriority w:val="1"/>
    <w:qFormat w:val="1"/>
    <w:rsid w:val="00726FEA"/>
    <w:pPr>
      <w:widowControl w:val="0"/>
      <w:autoSpaceDE w:val="0"/>
      <w:autoSpaceDN w:val="0"/>
      <w:spacing w:after="0" w:before="0"/>
    </w:pPr>
    <w:rPr>
      <w:rFonts w:ascii="Calibri" w:cs="Calibri" w:eastAsia="Calibri" w:hAnsi="Calibri"/>
      <w:color w:val="auto"/>
      <w:sz w:val="22"/>
      <w:lang w:val="en-AU"/>
    </w:rPr>
  </w:style>
  <w:style w:type="character" w:styleId="BodyTextChar" w:customStyle="1">
    <w:name w:val="Body Text Char"/>
    <w:basedOn w:val="DefaultParagraphFont"/>
    <w:link w:val="BodyText"/>
    <w:uiPriority w:val="1"/>
    <w:rsid w:val="00726FEA"/>
    <w:rPr>
      <w:rFonts w:ascii="Calibri" w:cs="Calibri" w:eastAsia="Calibri" w:hAnsi="Calibri"/>
      <w:sz w:val="22"/>
      <w:szCs w:val="22"/>
    </w:rPr>
  </w:style>
  <w:style w:type="paragraph" w:styleId="TableParagraph" w:customStyle="1">
    <w:name w:val="Table Paragraph"/>
    <w:basedOn w:val="Normal"/>
    <w:uiPriority w:val="1"/>
    <w:qFormat w:val="1"/>
    <w:rsid w:val="00726FEA"/>
    <w:pPr>
      <w:widowControl w:val="0"/>
      <w:autoSpaceDE w:val="0"/>
      <w:autoSpaceDN w:val="0"/>
      <w:spacing w:after="0" w:before="0"/>
      <w:ind w:left="107"/>
    </w:pPr>
    <w:rPr>
      <w:rFonts w:ascii="Calibri" w:cs="Calibri" w:eastAsia="Calibri" w:hAnsi="Calibri"/>
      <w:color w:val="auto"/>
      <w:sz w:val="22"/>
      <w:lang w:val="en-AU"/>
    </w:rPr>
  </w:style>
  <w:style w:type="paragraph" w:styleId="Body-Table" w:customStyle="1">
    <w:name w:val="Body - Table"/>
    <w:basedOn w:val="Normal"/>
    <w:qFormat w:val="1"/>
    <w:rsid w:val="00F04A59"/>
    <w:pPr>
      <w:tabs>
        <w:tab w:val="left" w:pos="3000"/>
      </w:tabs>
      <w:spacing w:after="20" w:before="20"/>
    </w:pPr>
    <w:rPr>
      <w:color w:val="595959" w:themeColor="text1" w:themeTint="0000A6"/>
      <w:sz w:val="21"/>
    </w:rPr>
  </w:style>
  <w:style w:type="character" w:styleId="CommentReference">
    <w:name w:val="annotation reference"/>
    <w:basedOn w:val="DefaultParagraphFont"/>
    <w:uiPriority w:val="99"/>
    <w:semiHidden w:val="1"/>
    <w:unhideWhenUsed w:val="1"/>
    <w:rsid w:val="00AA71AD"/>
    <w:rPr>
      <w:sz w:val="16"/>
      <w:szCs w:val="16"/>
    </w:rPr>
  </w:style>
  <w:style w:type="paragraph" w:styleId="CommentText">
    <w:name w:val="annotation text"/>
    <w:basedOn w:val="Normal"/>
    <w:link w:val="CommentTextChar"/>
    <w:uiPriority w:val="99"/>
    <w:semiHidden w:val="1"/>
    <w:unhideWhenUsed w:val="1"/>
    <w:rsid w:val="00AA71AD"/>
    <w:rPr>
      <w:sz w:val="20"/>
      <w:szCs w:val="20"/>
    </w:rPr>
  </w:style>
  <w:style w:type="character" w:styleId="CommentTextChar" w:customStyle="1">
    <w:name w:val="Comment Text Char"/>
    <w:basedOn w:val="DefaultParagraphFont"/>
    <w:link w:val="CommentText"/>
    <w:uiPriority w:val="99"/>
    <w:semiHidden w:val="1"/>
    <w:rsid w:val="00AA71A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AA71AD"/>
    <w:rPr>
      <w:b w:val="1"/>
      <w:bCs w:val="1"/>
    </w:rPr>
  </w:style>
  <w:style w:type="character" w:styleId="CommentSubjectChar" w:customStyle="1">
    <w:name w:val="Comment Subject Char"/>
    <w:basedOn w:val="CommentTextChar"/>
    <w:link w:val="CommentSubject"/>
    <w:uiPriority w:val="99"/>
    <w:semiHidden w:val="1"/>
    <w:rsid w:val="00AA71AD"/>
    <w:rPr>
      <w:rFonts w:asciiTheme="majorHAnsi" w:hAnsiTheme="majorHAnsi"/>
      <w:b w:val="1"/>
      <w:bCs w:val="1"/>
      <w:color w:val="ffffff" w:themeColor="background1"/>
      <w:sz w:val="20"/>
      <w:szCs w:val="20"/>
      <w:lang w:val="en-US"/>
    </w:rPr>
  </w:style>
  <w:style w:type="paragraph" w:styleId="Subtitle">
    <w:name w:val="Subtitle"/>
    <w:basedOn w:val="Normal"/>
    <w:next w:val="Normal"/>
    <w:pPr/>
    <w:rPr>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12" Type="http://schemas.openxmlformats.org/officeDocument/2006/relationships/footer" Target="footer2.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CToRYEavaxyUiohwjPgcfS846g==">AMUW2mUD4v3MGqfz7pFC2HyO2VlzS23gaPwphK28DyujxLAhB3aZLmrsf1RiUFFAmkSaT1ym+YT4pxewdo8ML/MxCaud2iU/tmXgiawJ20UUaGlKZ/n7txolNdty5bQQVKewH1MQqvBj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2021-05-05T04:07:00Z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